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B50F9">
      <w:pPr>
        <w:keepNext w:val="0"/>
        <w:keepLines w:val="0"/>
        <w:pageBreakBefore w:val="0"/>
        <w:numPr>
          <w:ilvl w:val="0"/>
          <w:numId w:val="0"/>
        </w:numPr>
        <w:kinsoku/>
        <w:overflowPunct/>
        <w:topLinePunct w:val="0"/>
        <w:autoSpaceDE/>
        <w:autoSpaceDN/>
        <w:bidi w:val="0"/>
        <w:adjustRightInd/>
        <w:spacing w:line="576" w:lineRule="exact"/>
        <w:ind w:firstLine="320" w:firstLineChars="100"/>
        <w:outlineLvl w:val="0"/>
        <w:rPr>
          <w:rFonts w:hint="eastAsia" w:ascii="仿宋" w:hAnsi="仿宋" w:eastAsia="仿宋" w:cs="仿宋"/>
          <w:sz w:val="28"/>
          <w:szCs w:val="28"/>
          <w:lang w:val="en-US" w:eastAsia="zh-CN"/>
        </w:rPr>
      </w:pPr>
      <w:r>
        <w:rPr>
          <w:rFonts w:hint="eastAsia" w:ascii="黑体" w:hAnsi="黑体" w:eastAsia="黑体" w:cs="黑体"/>
          <w:sz w:val="32"/>
          <w:szCs w:val="32"/>
          <w:lang w:val="en-US" w:eastAsia="zh-CN"/>
        </w:rPr>
        <w:t>附表1</w:t>
      </w:r>
      <w:r>
        <w:rPr>
          <w:rFonts w:hint="eastAsia" w:ascii="仿宋" w:hAnsi="仿宋" w:eastAsia="仿宋" w:cs="仿宋"/>
          <w:sz w:val="28"/>
          <w:szCs w:val="28"/>
          <w:lang w:val="en-US" w:eastAsia="zh-CN"/>
        </w:rPr>
        <w:t xml:space="preserve">                </w:t>
      </w:r>
    </w:p>
    <w:p w14:paraId="43026F54">
      <w:pPr>
        <w:keepNext w:val="0"/>
        <w:keepLines w:val="0"/>
        <w:pageBreakBefore w:val="0"/>
        <w:numPr>
          <w:ilvl w:val="0"/>
          <w:numId w:val="0"/>
        </w:numPr>
        <w:kinsoku/>
        <w:overflowPunct/>
        <w:topLinePunct w:val="0"/>
        <w:autoSpaceDE/>
        <w:autoSpaceDN/>
        <w:bidi w:val="0"/>
        <w:adjustRightInd/>
        <w:spacing w:line="576" w:lineRule="exact"/>
        <w:ind w:firstLine="440" w:firstLineChars="100"/>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西藏自治区住房和城乡建设系统轻微违法行为包容免罚清单</w:t>
      </w:r>
    </w:p>
    <w:p w14:paraId="4021B141">
      <w:pPr>
        <w:keepNext w:val="0"/>
        <w:keepLines w:val="0"/>
        <w:pageBreakBefore w:val="0"/>
        <w:numPr>
          <w:ilvl w:val="0"/>
          <w:numId w:val="0"/>
        </w:numPr>
        <w:kinsoku/>
        <w:overflowPunct/>
        <w:topLinePunct w:val="0"/>
        <w:autoSpaceDE/>
        <w:autoSpaceDN/>
        <w:bidi w:val="0"/>
        <w:adjustRightInd/>
        <w:spacing w:line="576" w:lineRule="exact"/>
        <w:ind w:firstLine="440" w:firstLineChars="100"/>
        <w:jc w:val="center"/>
        <w:outlineLvl w:val="0"/>
        <w:rPr>
          <w:rFonts w:hint="eastAsia" w:ascii="仿宋" w:hAnsi="仿宋" w:eastAsia="仿宋" w:cs="仿宋"/>
          <w:sz w:val="28"/>
          <w:szCs w:val="28"/>
          <w:lang w:val="en-US" w:eastAsia="zh-CN"/>
        </w:rPr>
      </w:pPr>
      <w:r>
        <w:rPr>
          <w:rFonts w:hint="eastAsia" w:ascii="方正小标宋_GBK" w:hAnsi="方正小标宋_GBK" w:eastAsia="方正小标宋_GBK" w:cs="方正小标宋_GBK"/>
          <w:sz w:val="44"/>
          <w:szCs w:val="44"/>
          <w:lang w:val="en-US" w:eastAsia="zh-CN"/>
        </w:rPr>
        <w:t>（含不予行政处罚事项清单）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55"/>
        <w:gridCol w:w="6420"/>
        <w:gridCol w:w="1950"/>
        <w:gridCol w:w="1913"/>
      </w:tblGrid>
      <w:tr w14:paraId="6CCA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5402DFE0">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序号</w:t>
            </w:r>
          </w:p>
        </w:tc>
        <w:tc>
          <w:tcPr>
            <w:tcW w:w="2555" w:type="dxa"/>
            <w:noWrap w:val="0"/>
            <w:vAlign w:val="center"/>
          </w:tcPr>
          <w:p w14:paraId="48755167">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事项名称</w:t>
            </w:r>
          </w:p>
        </w:tc>
        <w:tc>
          <w:tcPr>
            <w:tcW w:w="6420" w:type="dxa"/>
            <w:noWrap w:val="0"/>
            <w:vAlign w:val="center"/>
          </w:tcPr>
          <w:p w14:paraId="737EB736">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设定依据</w:t>
            </w:r>
          </w:p>
        </w:tc>
        <w:tc>
          <w:tcPr>
            <w:tcW w:w="1950" w:type="dxa"/>
            <w:noWrap w:val="0"/>
            <w:vAlign w:val="center"/>
          </w:tcPr>
          <w:p w14:paraId="67093D04">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适用情形</w:t>
            </w:r>
          </w:p>
        </w:tc>
        <w:tc>
          <w:tcPr>
            <w:tcW w:w="1913" w:type="dxa"/>
            <w:noWrap w:val="0"/>
            <w:vAlign w:val="center"/>
          </w:tcPr>
          <w:p w14:paraId="20C6F903">
            <w:pPr>
              <w:keepNext w:val="0"/>
              <w:keepLines w:val="0"/>
              <w:pageBreakBefore w:val="0"/>
              <w:numPr>
                <w:ilvl w:val="0"/>
                <w:numId w:val="0"/>
              </w:numPr>
              <w:kinsoku/>
              <w:overflowPunct/>
              <w:topLinePunct w:val="0"/>
              <w:autoSpaceDE/>
              <w:autoSpaceDN/>
              <w:bidi w:val="0"/>
              <w:adjustRightInd/>
              <w:spacing w:line="576" w:lineRule="exac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包容情形</w:t>
            </w:r>
          </w:p>
        </w:tc>
      </w:tr>
      <w:tr w14:paraId="1668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9" w:type="dxa"/>
            <w:noWrap w:val="0"/>
            <w:vAlign w:val="center"/>
          </w:tcPr>
          <w:p w14:paraId="751A9622">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2555" w:type="dxa"/>
            <w:noWrap w:val="0"/>
            <w:vAlign w:val="center"/>
          </w:tcPr>
          <w:p w14:paraId="56EB16E7">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对个人随意倾倒、抛洒、堆放或者焚烧生活垃圾的行政处罚</w:t>
            </w:r>
          </w:p>
        </w:tc>
        <w:tc>
          <w:tcPr>
            <w:tcW w:w="6420" w:type="dxa"/>
            <w:noWrap w:val="0"/>
            <w:vAlign w:val="top"/>
          </w:tcPr>
          <w:p w14:paraId="65EF8DAB">
            <w:r>
              <w:rPr>
                <w:rFonts w:hint="eastAsia" w:ascii="仿宋" w:hAnsi="仿宋" w:eastAsia="仿宋" w:cs="仿宋"/>
                <w:b w:val="0"/>
                <w:bCs w:val="0"/>
                <w:sz w:val="21"/>
                <w:szCs w:val="21"/>
                <w:lang w:val="en-US" w:eastAsia="zh-CN"/>
              </w:rPr>
              <w:t>《中华人民共和国固体废物污染环境防治法》第一百一十一条</w:t>
            </w:r>
            <w:bookmarkStart w:id="0" w:name="tiao_111_kuan_1"/>
            <w:bookmarkEnd w:id="0"/>
            <w:r>
              <w:rPr>
                <w:rFonts w:hint="eastAsia" w:ascii="仿宋" w:hAnsi="仿宋" w:eastAsia="仿宋" w:cs="仿宋"/>
                <w:b w:val="0"/>
                <w:bCs w:val="0"/>
                <w:sz w:val="21"/>
                <w:szCs w:val="21"/>
                <w:lang w:val="en-US" w:eastAsia="zh-CN"/>
              </w:rPr>
              <w:t>　</w:t>
            </w:r>
          </w:p>
          <w:p w14:paraId="5013BA27">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违反本法规定，有下列行为之一，由县级以上地方人民政府环境卫生主管部门责令改正，处以罚款，没收违法所得：</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fldChar w:fldCharType="end"/>
            </w:r>
          </w:p>
          <w:p w14:paraId="0AE5B6ED">
            <w:pPr>
              <w:keepNext w:val="0"/>
              <w:keepLines w:val="0"/>
              <w:pageBreakBefore w:val="0"/>
              <w:numPr>
                <w:ilvl w:val="0"/>
                <w:numId w:val="1"/>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随意倾倒、抛撒、堆放或者焚烧生活垃圾的；</w:t>
            </w:r>
          </w:p>
          <w:p w14:paraId="3BCF12BB"/>
          <w:p w14:paraId="0F80A3D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个人有前款第一项、第五项、第七项行为之一，处一百元以上五百元以下的罚款。</w:t>
            </w:r>
          </w:p>
          <w:p w14:paraId="605CB200">
            <w:r>
              <w:rPr>
                <w:rFonts w:hint="eastAsia" w:ascii="仿宋" w:hAnsi="仿宋" w:eastAsia="仿宋" w:cs="仿宋"/>
                <w:b w:val="0"/>
                <w:bCs w:val="0"/>
                <w:sz w:val="21"/>
                <w:szCs w:val="21"/>
                <w:lang w:val="en-US" w:eastAsia="zh-CN"/>
              </w:rPr>
              <w:t>《城市生活垃圾管理办法》第四十二条</w:t>
            </w:r>
          </w:p>
          <w:p w14:paraId="02B9F38F">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p>
          <w:p w14:paraId="2120D0E1">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950" w:type="dxa"/>
            <w:noWrap w:val="0"/>
            <w:vAlign w:val="center"/>
          </w:tcPr>
          <w:p w14:paraId="4E94A9AD">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1.个人初次违法；</w:t>
            </w:r>
          </w:p>
          <w:p w14:paraId="07E816D4">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2.倾倒、抛洒、堆放生活垃圾的体积在1立方米以下；</w:t>
            </w:r>
          </w:p>
          <w:p w14:paraId="4D140AA9">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7520F4F4">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415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19" w:type="dxa"/>
            <w:noWrap w:val="0"/>
            <w:vAlign w:val="center"/>
          </w:tcPr>
          <w:p w14:paraId="3D8E8760">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2555" w:type="dxa"/>
            <w:noWrap w:val="0"/>
            <w:vAlign w:val="center"/>
          </w:tcPr>
          <w:p w14:paraId="58A79233">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对产生、收集厨余垃圾的个人未将厨余垃圾交由具备相应资质条件的单位进行无害化处理的行政处罚</w:t>
            </w:r>
          </w:p>
        </w:tc>
        <w:tc>
          <w:tcPr>
            <w:tcW w:w="6420" w:type="dxa"/>
            <w:noWrap w:val="0"/>
            <w:vAlign w:val="center"/>
          </w:tcPr>
          <w:p w14:paraId="1A32C24A">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《中华人民共和国固体废物污染环境防治法》第一百一十一条　</w:t>
            </w:r>
          </w:p>
          <w:p w14:paraId="17E24462">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违反本法规定，有下列行为之一，由县级以上地方人民政府环境卫生主管部门责令改正，处以罚款，没收违法所得：</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fldChar w:fldCharType="end"/>
            </w:r>
          </w:p>
          <w:p w14:paraId="06A9F287">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（五）产生、收集厨余垃圾的单位和其他生产经营者未将厨余垃圾交由具备相应资质条件的单位进行无害化处理的；</w:t>
            </w:r>
          </w:p>
          <w:p w14:paraId="4FD05842">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个人有前款第一项、第五项、第七项行为之一，处一百元以上五百元以下的罚款。</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fldChar w:fldCharType="end"/>
            </w:r>
          </w:p>
        </w:tc>
        <w:tc>
          <w:tcPr>
            <w:tcW w:w="1950" w:type="dxa"/>
            <w:noWrap w:val="0"/>
            <w:vAlign w:val="center"/>
          </w:tcPr>
          <w:p w14:paraId="0DA7617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1.个人初次违法；</w:t>
            </w:r>
          </w:p>
          <w:p w14:paraId="1777207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2.未交由具备相应资质条件的单位进行无害化处理的厨余垃圾的质量在50千克以下；</w:t>
            </w:r>
          </w:p>
          <w:p w14:paraId="56A8399D">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4650C15F">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450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29D66B2C">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2555" w:type="dxa"/>
            <w:noWrap w:val="0"/>
            <w:vAlign w:val="center"/>
          </w:tcPr>
          <w:p w14:paraId="4493FB1B">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对个人在运输过程中沿途丢弃、遗撒生活垃圾的行政处罚</w:t>
            </w:r>
          </w:p>
        </w:tc>
        <w:tc>
          <w:tcPr>
            <w:tcW w:w="6420" w:type="dxa"/>
            <w:noWrap w:val="0"/>
            <w:vAlign w:val="center"/>
          </w:tcPr>
          <w:p w14:paraId="0528BDE1">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《中华人民共和国固体废物污染环境防治法》第一百一十一条　</w:t>
            </w:r>
          </w:p>
          <w:p w14:paraId="1B649A9C">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违反本法规定，有下列行为之一，由县级以上地方人民政府环境卫生主管部门责令改正，处以罚款，没收违法所得：</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fldChar w:fldCharType="end"/>
            </w:r>
          </w:p>
          <w:p w14:paraId="1DC6F774">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（七）在运输过程中沿途丢弃、遗撒生活垃圾的。</w:t>
            </w:r>
          </w:p>
          <w:p w14:paraId="2F1C3871">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个人有前款第一项、第五项、第七项行为之一，处一百元以上五百元以下的罚款。</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fldChar w:fldCharType="end"/>
            </w:r>
          </w:p>
        </w:tc>
        <w:tc>
          <w:tcPr>
            <w:tcW w:w="1950" w:type="dxa"/>
            <w:noWrap w:val="0"/>
            <w:vAlign w:val="center"/>
          </w:tcPr>
          <w:p w14:paraId="2C4E1AE4">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1.个人初次违法；</w:t>
            </w:r>
          </w:p>
          <w:p w14:paraId="4AA35A05">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2.沿途丢弃、遗撒生活垃圾的长度在50米以下；</w:t>
            </w:r>
          </w:p>
          <w:p w14:paraId="20239368">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39F83494">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4666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19" w:type="dxa"/>
            <w:noWrap w:val="0"/>
            <w:vAlign w:val="center"/>
          </w:tcPr>
          <w:p w14:paraId="7EE47919">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2555" w:type="dxa"/>
            <w:noWrap w:val="0"/>
            <w:vAlign w:val="center"/>
          </w:tcPr>
          <w:p w14:paraId="3A1DBE9E">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对从事生活垃圾经营性清扫、收集、运输的企业清扫、收运城市生活垃圾后，未对生活垃圾收集设施及时保洁、复位，清理作业场地，保持生活垃圾收集设施和周边环境干净整洁的行政处罚</w:t>
            </w:r>
          </w:p>
        </w:tc>
        <w:tc>
          <w:tcPr>
            <w:tcW w:w="6420" w:type="dxa"/>
            <w:noWrap w:val="0"/>
            <w:vAlign w:val="center"/>
          </w:tcPr>
          <w:p w14:paraId="73C00645">
            <w:r>
              <w:rPr>
                <w:rFonts w:hint="eastAsia" w:ascii="仿宋" w:hAnsi="仿宋" w:eastAsia="仿宋" w:cs="仿宋"/>
                <w:b w:val="0"/>
                <w:bCs w:val="0"/>
                <w:sz w:val="21"/>
                <w:szCs w:val="21"/>
                <w:lang w:val="en-US" w:eastAsia="zh-CN"/>
              </w:rPr>
              <w:t>《城市生活垃圾管理办法》第二十条第（三）项</w:t>
            </w:r>
          </w:p>
          <w:p w14:paraId="4004A761">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从事城市生活垃圾经营性清扫、收集、运输的企业应当履行以下义务：</w:t>
            </w:r>
          </w:p>
          <w:p w14:paraId="72A93F2C">
            <w:pPr>
              <w:keepNext w:val="0"/>
              <w:keepLines w:val="0"/>
              <w:pageBreakBefore w:val="0"/>
              <w:numPr>
                <w:ilvl w:val="0"/>
                <w:numId w:val="0"/>
              </w:numPr>
              <w:kinsoku/>
              <w:overflowPunct/>
              <w:topLinePunct w:val="0"/>
              <w:autoSpaceDE/>
              <w:autoSpaceDN/>
              <w:bidi w:val="0"/>
              <w:adjustRightInd/>
              <w:spacing w:line="576" w:lineRule="exact"/>
              <w:ind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（三）清扫、收运城市生活垃圾后，对生活垃圾收集设施及时保洁、复位，清理作业场地，保持生活垃圾收集设施和周边环境的干净整洁；</w:t>
            </w:r>
          </w:p>
          <w:p w14:paraId="43C1CE26">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《城市生活垃圾管理办法》第四十五条</w:t>
            </w:r>
          </w:p>
          <w:p w14:paraId="710A43DB">
            <w:pPr>
              <w:keepNext w:val="0"/>
              <w:keepLines w:val="0"/>
              <w:pageBreakBefore w:val="0"/>
              <w:numPr>
                <w:ilvl w:val="0"/>
                <w:numId w:val="0"/>
              </w:numPr>
              <w:kinsoku/>
              <w:overflowPunct/>
              <w:topLinePunct w:val="0"/>
              <w:autoSpaceDE/>
              <w:autoSpaceDN/>
              <w:bidi w:val="0"/>
              <w:adjustRightInd/>
              <w:spacing w:line="576" w:lineRule="exact"/>
              <w:ind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从事生活垃圾经营性清扫、收集、运输的企业不履行本办法第二十条规定义务的，由直辖市、市、县人民政府建设（环境卫生）主管部门责令限期改正，并可处以5000元以上3万元以下的罚款； </w:t>
            </w:r>
          </w:p>
        </w:tc>
        <w:tc>
          <w:tcPr>
            <w:tcW w:w="1950" w:type="dxa"/>
            <w:noWrap w:val="0"/>
            <w:vAlign w:val="center"/>
          </w:tcPr>
          <w:p w14:paraId="33ECAAB5">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1.企业初次违法；</w:t>
            </w:r>
          </w:p>
          <w:p w14:paraId="7851CEC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2.未对生活垃圾收集设施及时保洁、复位，清理场地的面积在5平方米以下；</w:t>
            </w:r>
          </w:p>
          <w:p w14:paraId="71AB765F">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54C9135E">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1B97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19" w:type="dxa"/>
            <w:noWrap w:val="0"/>
            <w:vAlign w:val="center"/>
          </w:tcPr>
          <w:p w14:paraId="64A970B7">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2555" w:type="dxa"/>
            <w:noWrap w:val="0"/>
            <w:vAlign w:val="center"/>
          </w:tcPr>
          <w:p w14:paraId="0CE41508">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对从事生活垃圾经营性清扫、收集、运输的企业对其用于收集、运输城市生活垃圾的车辆、船舶未做到密闭、完好和整洁的行政处罚</w:t>
            </w:r>
          </w:p>
        </w:tc>
        <w:tc>
          <w:tcPr>
            <w:tcW w:w="6420" w:type="dxa"/>
            <w:noWrap w:val="0"/>
            <w:vAlign w:val="center"/>
          </w:tcPr>
          <w:p w14:paraId="1365EDF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《城市生活垃圾管理办法》第二十条第（四）项</w:t>
            </w:r>
          </w:p>
          <w:p w14:paraId="408F743C">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从事城市生活垃圾经营性清扫、收集、运输的企业应当履行以下义务：</w:t>
            </w:r>
          </w:p>
          <w:p w14:paraId="49A9A0BB">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（四）用于收集、运输城市生活垃圾的车辆、船舶应当做到密闭、完好和整洁。</w:t>
            </w:r>
          </w:p>
          <w:p w14:paraId="7C8BB752">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《城市生活垃圾管理办法》第四十五条</w:t>
            </w:r>
          </w:p>
          <w:p w14:paraId="102EA9A0">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从事生活垃圾经营性清扫、收集、运输的企业不履行本办法第二十条规定义务的，由直辖市、市、县人民政府建设（环境卫生）主管部门责令限期改正，并可处以5000元以上3万元以下的罚款： </w:t>
            </w:r>
          </w:p>
        </w:tc>
        <w:tc>
          <w:tcPr>
            <w:tcW w:w="1950" w:type="dxa"/>
            <w:noWrap w:val="0"/>
            <w:vAlign w:val="center"/>
          </w:tcPr>
          <w:p w14:paraId="5C0A9994">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1.企业初次违法；</w:t>
            </w:r>
          </w:p>
          <w:p w14:paraId="3727490F">
            <w:pPr>
              <w:keepNext w:val="0"/>
              <w:keepLines w:val="0"/>
              <w:pageBreakBefore w:val="0"/>
              <w:numPr>
                <w:ilvl w:val="0"/>
                <w:numId w:val="0"/>
              </w:numPr>
              <w:kinsoku/>
              <w:overflowPunct/>
              <w:topLinePunct w:val="0"/>
              <w:autoSpaceDE/>
              <w:autoSpaceDN/>
              <w:bidi w:val="0"/>
              <w:adjustRightInd/>
              <w:spacing w:line="576" w:lineRule="exact"/>
              <w:jc w:val="left"/>
              <w:rPr>
                <w:rFonts w:hint="default" w:ascii="仿宋" w:hAnsi="仿宋" w:eastAsia="仿宋" w:cs="仿宋"/>
                <w:b w:val="0"/>
                <w:bCs w:val="0"/>
                <w:sz w:val="21"/>
                <w:szCs w:val="21"/>
                <w:lang w:val="en" w:eastAsia="zh-CN"/>
              </w:rPr>
            </w:pPr>
            <w:r>
              <w:rPr>
                <w:rFonts w:hint="eastAsia" w:ascii="仿宋" w:hAnsi="仿宋" w:eastAsia="仿宋" w:cs="仿宋"/>
                <w:b w:val="0"/>
                <w:bCs w:val="0"/>
                <w:sz w:val="21"/>
                <w:szCs w:val="21"/>
                <w:lang w:val="en-US" w:eastAsia="zh-CN"/>
              </w:rPr>
              <w:t>2.只有2辆以下的城市生活垃圾运输车辆未做到密闭、完好和整洁；</w:t>
            </w:r>
          </w:p>
          <w:p w14:paraId="59471DEF">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0D3027DB">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509E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719" w:type="dxa"/>
            <w:noWrap w:val="0"/>
            <w:vAlign w:val="center"/>
          </w:tcPr>
          <w:p w14:paraId="7D3103DD">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w:t>
            </w:r>
          </w:p>
        </w:tc>
        <w:tc>
          <w:tcPr>
            <w:tcW w:w="2555" w:type="dxa"/>
            <w:noWrap w:val="0"/>
            <w:vAlign w:val="center"/>
          </w:tcPr>
          <w:p w14:paraId="6783A275">
            <w:pPr>
              <w:keepNext w:val="0"/>
              <w:keepLines w:val="0"/>
              <w:pageBreakBefore w:val="0"/>
              <w:numPr>
                <w:ilvl w:val="0"/>
                <w:numId w:val="0"/>
              </w:numPr>
              <w:kinsoku/>
              <w:overflowPunct/>
              <w:topLinePunct w:val="0"/>
              <w:autoSpaceDE/>
              <w:autoSpaceDN/>
              <w:bidi w:val="0"/>
              <w:adjustRightInd/>
              <w:spacing w:line="576"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对城市生活垃圾经营性处置企业未履行保证城市生活垃圾处置站、场（厂）环境整洁义务的行政处罚</w:t>
            </w:r>
          </w:p>
        </w:tc>
        <w:tc>
          <w:tcPr>
            <w:tcW w:w="6420" w:type="dxa"/>
            <w:noWrap w:val="0"/>
            <w:vAlign w:val="center"/>
          </w:tcPr>
          <w:p w14:paraId="326B4018">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《城市生活垃圾管理办法》第二十八条第（五）项从事城市生活垃圾经营性处置的企业应当履行以下义务：</w:t>
            </w:r>
          </w:p>
          <w:p w14:paraId="7E84CC0C">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（五）保证城市生活垃圾处置站、场（厂）环境整洁；</w:t>
            </w:r>
          </w:p>
          <w:p w14:paraId="7184A2DE">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《城市生活垃圾管理办法》第四十五条</w:t>
            </w:r>
          </w:p>
          <w:p w14:paraId="2628CF1A">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950" w:type="dxa"/>
            <w:noWrap w:val="0"/>
            <w:vAlign w:val="center"/>
          </w:tcPr>
          <w:p w14:paraId="09CF9BD5">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1.企业初次违法；</w:t>
            </w:r>
          </w:p>
          <w:p w14:paraId="0DCD504D">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2.未保证城市生活垃圾处置站、场（厂）环境整洁的面积在10平方米以下；</w:t>
            </w:r>
          </w:p>
          <w:p w14:paraId="04CBEC93">
            <w:pPr>
              <w:keepNext w:val="0"/>
              <w:keepLines w:val="0"/>
              <w:pageBreakBefore w:val="0"/>
              <w:numPr>
                <w:ilvl w:val="0"/>
                <w:numId w:val="0"/>
              </w:numPr>
              <w:kinsoku/>
              <w:overflowPunct/>
              <w:topLinePunct w:val="0"/>
              <w:autoSpaceDE/>
              <w:autoSpaceDN/>
              <w:bidi w:val="0"/>
              <w:adjustRightInd/>
              <w:spacing w:line="576" w:lineRule="exact"/>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3.及时改正违法行为。</w:t>
            </w:r>
          </w:p>
        </w:tc>
        <w:tc>
          <w:tcPr>
            <w:tcW w:w="1913" w:type="dxa"/>
            <w:noWrap w:val="0"/>
            <w:vAlign w:val="center"/>
          </w:tcPr>
          <w:p w14:paraId="5408D821">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责令停止违法行为，限期改正，加强教育、劝导示范、及时复查整改情况、加强行政检查</w:t>
            </w:r>
          </w:p>
        </w:tc>
      </w:tr>
      <w:tr w14:paraId="2D53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719" w:type="dxa"/>
            <w:noWrap w:val="0"/>
            <w:vAlign w:val="center"/>
          </w:tcPr>
          <w:p w14:paraId="6A7486D6">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2555" w:type="dxa"/>
            <w:noWrap w:val="0"/>
            <w:vAlign w:val="center"/>
          </w:tcPr>
          <w:p w14:paraId="5A5553D7">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对出租单位在首次出租前、自购建筑起重机械的使用单位在建筑起重首次安装前未按照规定办理备案的处罚</w:t>
            </w:r>
          </w:p>
        </w:tc>
        <w:tc>
          <w:tcPr>
            <w:tcW w:w="6420" w:type="dxa"/>
            <w:noWrap w:val="0"/>
            <w:vAlign w:val="center"/>
          </w:tcPr>
          <w:p w14:paraId="1CE17FFE">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《建筑起重机械安全监督管理规定》第五条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第二十八条第（一）项 违反本规定，出租单位、自购建筑起重机械的使用单位，有下列行为之一的，由县级以上地方人民政府建设主管部门责令限期改正，予以警告，并处以5000元以上1万元以下罚款：</w:t>
            </w:r>
          </w:p>
          <w:p w14:paraId="691AFDC8">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（一）未按规定办理备案的。</w:t>
            </w:r>
          </w:p>
        </w:tc>
        <w:tc>
          <w:tcPr>
            <w:tcW w:w="1950" w:type="dxa"/>
            <w:noWrap w:val="0"/>
            <w:vAlign w:val="center"/>
          </w:tcPr>
          <w:p w14:paraId="4A00D3CA">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146C40BF">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35B5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020115AB">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2555" w:type="dxa"/>
            <w:noWrap w:val="0"/>
            <w:vAlign w:val="center"/>
          </w:tcPr>
          <w:p w14:paraId="4A0273E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对建设单位在工程竣工验收合格 之日起15日内未办理工程竣工验收备案的处罚</w:t>
            </w:r>
          </w:p>
        </w:tc>
        <w:tc>
          <w:tcPr>
            <w:tcW w:w="6420" w:type="dxa"/>
            <w:noWrap w:val="0"/>
            <w:vAlign w:val="center"/>
          </w:tcPr>
          <w:p w14:paraId="32C4D73A">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《房屋建筑和市政基础设施工程竣工 验收备案管理办法》第九条 建设单位 在工程竣工验收合格之日起15日内未 办理工程竣工验收备案的，备案机关责 令限期改正，处20万元以上50万元以 下罚款。</w:t>
            </w:r>
          </w:p>
        </w:tc>
        <w:tc>
          <w:tcPr>
            <w:tcW w:w="1950" w:type="dxa"/>
            <w:noWrap w:val="0"/>
            <w:vAlign w:val="center"/>
          </w:tcPr>
          <w:p w14:paraId="43121CD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 违法行为轻微（资料完备，逾期 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 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3. 没有造成危害后果；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 当事人积极配合检查调查。</w:t>
            </w:r>
          </w:p>
        </w:tc>
        <w:tc>
          <w:tcPr>
            <w:tcW w:w="1913" w:type="dxa"/>
            <w:noWrap w:val="0"/>
            <w:vAlign w:val="center"/>
          </w:tcPr>
          <w:p w14:paraId="547D689A">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6E8B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19" w:type="dxa"/>
            <w:noWrap w:val="0"/>
            <w:vAlign w:val="center"/>
          </w:tcPr>
          <w:p w14:paraId="1A4C4BB6">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w:t>
            </w:r>
          </w:p>
        </w:tc>
        <w:tc>
          <w:tcPr>
            <w:tcW w:w="2555" w:type="dxa"/>
            <w:noWrap w:val="0"/>
            <w:vAlign w:val="center"/>
          </w:tcPr>
          <w:p w14:paraId="19B1DAF2">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对出租单位、自购建筑起重机械的使用单位未按照规定办理注销手续的处罚</w:t>
            </w:r>
          </w:p>
        </w:tc>
        <w:tc>
          <w:tcPr>
            <w:tcW w:w="6420" w:type="dxa"/>
            <w:noWrap w:val="0"/>
            <w:vAlign w:val="center"/>
          </w:tcPr>
          <w:p w14:paraId="38DECFFB">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《建筑起重机械安全监督管理规定》第七条 下列情形之一的建筑起重机械，不得出租、使用：</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（一）属国家明令淘汰或者禁止使用的；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（二）超过安全技术标准或者制造厂家规定的使用年限的；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（三）经检验达不到安全技术标准规定的；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 第二十八条第（二）项 违反本规定，出租单位、自购建筑起重机械的使用单位，有下列行为之一的，由县级以上地方人民政府建设主管部门责令限期改正，予以警告，并处以5000元以上1万元以下罚款：</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（二）未按照规定办理注销手续的；</w:t>
            </w:r>
          </w:p>
        </w:tc>
        <w:tc>
          <w:tcPr>
            <w:tcW w:w="1950" w:type="dxa"/>
            <w:noWrap w:val="0"/>
            <w:vAlign w:val="center"/>
          </w:tcPr>
          <w:p w14:paraId="25B75FCF">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20FF1F04">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3E6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37F53BB0">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2555" w:type="dxa"/>
            <w:noWrap w:val="0"/>
            <w:vAlign w:val="center"/>
          </w:tcPr>
          <w:p w14:paraId="419DE3FD">
            <w:pPr>
              <w:keepNext w:val="0"/>
              <w:keepLines w:val="0"/>
              <w:pageBreakBefore w:val="0"/>
              <w:widowControl/>
              <w:suppressLineNumbers w:val="0"/>
              <w:kinsoku/>
              <w:overflowPunct/>
              <w:topLinePunct w:val="0"/>
              <w:autoSpaceDE/>
              <w:autoSpaceDN/>
              <w:bidi w:val="0"/>
              <w:adjustRightInd/>
              <w:spacing w:after="220" w:afterAutospacing="0"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对建筑业企业未按照要求提供建筑业企业信用档案信息的处罚 </w:t>
            </w:r>
            <w:r>
              <w:rPr>
                <w:rFonts w:hint="eastAsia" w:ascii="仿宋" w:hAnsi="仿宋" w:eastAsia="仿宋" w:cs="仿宋"/>
                <w:b w:val="0"/>
                <w:bCs w:val="0"/>
                <w:i w:val="0"/>
                <w:iCs w:val="0"/>
                <w:color w:val="000000"/>
                <w:kern w:val="0"/>
                <w:sz w:val="21"/>
                <w:szCs w:val="21"/>
                <w:u w:val="none"/>
                <w:lang w:val="en-US" w:eastAsia="zh-CN" w:bidi="ar"/>
              </w:rPr>
              <w:br w:type="textWrapping"/>
            </w:r>
          </w:p>
        </w:tc>
        <w:tc>
          <w:tcPr>
            <w:tcW w:w="6420" w:type="dxa"/>
            <w:noWrap w:val="0"/>
            <w:vAlign w:val="center"/>
          </w:tcPr>
          <w:p w14:paraId="6BEC54B7">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建筑业企业资质管理规定》第四十条企业未按照本规定要求提供企业信用档案信息的，由县级以上地方人民政府住房城乡建设主管部门或者其他有关部门给予警告，责令限期改正；逾期未改正的，可处以1000元以上1万元以下的罚款。</w:t>
            </w:r>
          </w:p>
        </w:tc>
        <w:tc>
          <w:tcPr>
            <w:tcW w:w="1950" w:type="dxa"/>
            <w:noWrap w:val="0"/>
            <w:vAlign w:val="center"/>
          </w:tcPr>
          <w:p w14:paraId="6EDE12FA">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4.当事人积极配合检查调查。 </w:t>
            </w:r>
          </w:p>
        </w:tc>
        <w:tc>
          <w:tcPr>
            <w:tcW w:w="1913" w:type="dxa"/>
            <w:noWrap w:val="0"/>
            <w:vAlign w:val="center"/>
          </w:tcPr>
          <w:p w14:paraId="0E0E5E1B">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1BB2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19" w:type="dxa"/>
            <w:noWrap w:val="0"/>
            <w:vAlign w:val="center"/>
          </w:tcPr>
          <w:p w14:paraId="2EBEF2C3">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2555" w:type="dxa"/>
            <w:noWrap w:val="0"/>
            <w:vAlign w:val="center"/>
          </w:tcPr>
          <w:p w14:paraId="439DEB64">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对工程监理企业未按照要求提供工程监理企业信用档案信息的处罚</w:t>
            </w:r>
          </w:p>
        </w:tc>
        <w:tc>
          <w:tcPr>
            <w:tcW w:w="6420" w:type="dxa"/>
            <w:noWrap w:val="0"/>
            <w:vAlign w:val="center"/>
          </w:tcPr>
          <w:p w14:paraId="2F583BD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工程监理企业资质管理规定》第三十一条工程监理企业未按照本规定要求提供工程监理企业信用档案信息的。由县级以上地方人民政府建设主管部门予以警告，责令限期改正；逾期未改正的，可处以1千元以上1万元以下的罚款</w:t>
            </w:r>
          </w:p>
        </w:tc>
        <w:tc>
          <w:tcPr>
            <w:tcW w:w="1950" w:type="dxa"/>
            <w:noWrap w:val="0"/>
            <w:vAlign w:val="center"/>
          </w:tcPr>
          <w:p w14:paraId="361AD42C">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6E3FD1EF">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 轻微不罚</w:t>
            </w:r>
          </w:p>
        </w:tc>
      </w:tr>
      <w:tr w14:paraId="5621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4D00440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w:t>
            </w:r>
          </w:p>
        </w:tc>
        <w:tc>
          <w:tcPr>
            <w:tcW w:w="2555" w:type="dxa"/>
            <w:noWrap w:val="0"/>
            <w:vAlign w:val="center"/>
          </w:tcPr>
          <w:p w14:paraId="726AD1E9">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对建设工程勘察设计企业未按照规定提供信用档案信息的处罚</w:t>
            </w:r>
          </w:p>
        </w:tc>
        <w:tc>
          <w:tcPr>
            <w:tcW w:w="6420" w:type="dxa"/>
            <w:noWrap w:val="0"/>
            <w:vAlign w:val="center"/>
          </w:tcPr>
          <w:p w14:paraId="6B657F72">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《建设工程勘察设计资质管理规定》第三十一条企业未按照规定提供信用档案信息的，由县级以上地方人民政府建设主管部门给予警告，责令限期改正；逾期未改正的，可处以1000元以上1万元以下的罚款。</w:t>
            </w:r>
          </w:p>
        </w:tc>
        <w:tc>
          <w:tcPr>
            <w:tcW w:w="1950" w:type="dxa"/>
            <w:noWrap w:val="0"/>
            <w:vAlign w:val="center"/>
          </w:tcPr>
          <w:p w14:paraId="7E588C3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4.当事人积极配合检查调查。 </w:t>
            </w:r>
          </w:p>
        </w:tc>
        <w:tc>
          <w:tcPr>
            <w:tcW w:w="1913" w:type="dxa"/>
            <w:noWrap w:val="0"/>
            <w:vAlign w:val="center"/>
          </w:tcPr>
          <w:p w14:paraId="74EEE809">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02CF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19" w:type="dxa"/>
            <w:noWrap w:val="0"/>
            <w:vAlign w:val="center"/>
          </w:tcPr>
          <w:p w14:paraId="474A1984">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2555" w:type="dxa"/>
            <w:noWrap w:val="0"/>
            <w:vAlign w:val="center"/>
          </w:tcPr>
          <w:p w14:paraId="36F2BA8F">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对建筑工地扬尘污染防治的处罚</w:t>
            </w:r>
          </w:p>
        </w:tc>
        <w:tc>
          <w:tcPr>
            <w:tcW w:w="6420" w:type="dxa"/>
            <w:noWrap w:val="0"/>
            <w:vAlign w:val="center"/>
          </w:tcPr>
          <w:p w14:paraId="6D222977">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                         （一） 施工工地未设置硬质围挡，或者未采取覆盖、分段作业、择时施工、洒水抑尘、冲洗地面和车辆等有效防尘降尘措施的；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（二）建筑土方、工程渣土、建筑垃圾未及时清运，或者未采用密闭式防尘网遮盖的。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950" w:type="dxa"/>
            <w:noWrap w:val="0"/>
            <w:vAlign w:val="center"/>
          </w:tcPr>
          <w:p w14:paraId="053755F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1.初次违法；</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p>
          <w:p w14:paraId="2497DEEC">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3.危害后果轻微； 4.当事人积极配合检查调查；</w:t>
            </w:r>
          </w:p>
        </w:tc>
        <w:tc>
          <w:tcPr>
            <w:tcW w:w="1913" w:type="dxa"/>
            <w:noWrap w:val="0"/>
            <w:vAlign w:val="center"/>
          </w:tcPr>
          <w:p w14:paraId="1C863DC9">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首违免罚</w:t>
            </w:r>
          </w:p>
        </w:tc>
      </w:tr>
      <w:tr w14:paraId="182B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245CFAA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2555" w:type="dxa"/>
            <w:noWrap w:val="0"/>
            <w:vAlign w:val="center"/>
          </w:tcPr>
          <w:p w14:paraId="307A914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对将不准上市出售的已购公有住房和经济适用住房上市出售行为的处罚</w:t>
            </w:r>
          </w:p>
        </w:tc>
        <w:tc>
          <w:tcPr>
            <w:tcW w:w="6420" w:type="dxa"/>
            <w:noWrap w:val="0"/>
            <w:vAlign w:val="center"/>
          </w:tcPr>
          <w:p w14:paraId="608B650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《已购公有住房和经济适用住房上市出售管理暂行办法》第十四条违反本办法第五条的规定，将不准上市出售的已购公有住房和经济适用住房上市出售的，处以10000元以上30000元以下罚款。</w:t>
            </w:r>
          </w:p>
        </w:tc>
        <w:tc>
          <w:tcPr>
            <w:tcW w:w="1950" w:type="dxa"/>
            <w:noWrap w:val="0"/>
            <w:vAlign w:val="center"/>
          </w:tcPr>
          <w:p w14:paraId="4CC6F60D">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1.初次违法；</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w:t>
            </w:r>
            <w:r>
              <w:rPr>
                <w:rFonts w:hint="eastAsia" w:ascii="CESI仿宋-GB2312" w:hAnsi="CESI仿宋-GB2312" w:eastAsia="CESI仿宋-GB2312" w:cs="CESI仿宋-GB2312"/>
                <w:b w:val="0"/>
                <w:bCs/>
                <w:i w:val="0"/>
                <w:color w:val="000000"/>
                <w:kern w:val="0"/>
                <w:sz w:val="21"/>
                <w:szCs w:val="21"/>
                <w:u w:val="none"/>
                <w:lang w:val="en-US" w:eastAsia="zh-CN" w:bidi="ar"/>
              </w:rPr>
              <w:t>及时将出售的房屋收回</w:t>
            </w:r>
            <w:r>
              <w:rPr>
                <w:rFonts w:hint="eastAsia" w:ascii="仿宋" w:hAnsi="仿宋" w:eastAsia="仿宋" w:cs="仿宋"/>
                <w:b w:val="0"/>
                <w:bCs w:val="0"/>
                <w:i w:val="0"/>
                <w:iCs w:val="0"/>
                <w:color w:val="000000"/>
                <w:kern w:val="0"/>
                <w:sz w:val="21"/>
                <w:szCs w:val="21"/>
                <w:u w:val="none"/>
                <w:lang w:val="en-US" w:eastAsia="zh-CN" w:bidi="ar"/>
              </w:rPr>
              <w:t>；</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3.危害后果轻微；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36BAE88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5569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19" w:type="dxa"/>
            <w:noWrap w:val="0"/>
            <w:vAlign w:val="center"/>
          </w:tcPr>
          <w:p w14:paraId="537DA30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2555" w:type="dxa"/>
            <w:noWrap w:val="0"/>
            <w:vAlign w:val="center"/>
          </w:tcPr>
          <w:p w14:paraId="7BB9D699">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对将已购公有住房和经济适用住房上市出售后，该户家庭又以非法手段按照成本价（或者标准价）购买公有住房或者政府提供优惠政策建设的住房行为的处罚</w:t>
            </w:r>
          </w:p>
        </w:tc>
        <w:tc>
          <w:tcPr>
            <w:tcW w:w="6420" w:type="dxa"/>
            <w:noWrap w:val="0"/>
            <w:vAlign w:val="center"/>
          </w:tcPr>
          <w:p w14:paraId="0B53F610">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已购公有住房和经济适用住房上市出售管理暂行办法》第十五条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tc>
        <w:tc>
          <w:tcPr>
            <w:tcW w:w="1950" w:type="dxa"/>
            <w:noWrap w:val="0"/>
            <w:vAlign w:val="center"/>
          </w:tcPr>
          <w:p w14:paraId="7D7FD0AF">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1.初次违法；</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w:t>
            </w:r>
            <w:r>
              <w:rPr>
                <w:rFonts w:hint="eastAsia" w:ascii="CESI仿宋-GB2312" w:hAnsi="CESI仿宋-GB2312" w:eastAsia="CESI仿宋-GB2312" w:cs="CESI仿宋-GB2312"/>
                <w:b w:val="0"/>
                <w:bCs/>
                <w:i w:val="0"/>
                <w:color w:val="000000"/>
                <w:kern w:val="0"/>
                <w:sz w:val="21"/>
                <w:szCs w:val="21"/>
                <w:u w:val="none"/>
                <w:lang w:val="en-US" w:eastAsia="zh-CN" w:bidi="ar"/>
              </w:rPr>
              <w:t>及时将出售的房屋收回</w:t>
            </w:r>
            <w:r>
              <w:rPr>
                <w:rFonts w:hint="eastAsia" w:ascii="仿宋" w:hAnsi="仿宋" w:eastAsia="仿宋" w:cs="仿宋"/>
                <w:b w:val="0"/>
                <w:bCs w:val="0"/>
                <w:i w:val="0"/>
                <w:iCs w:val="0"/>
                <w:color w:val="000000"/>
                <w:kern w:val="0"/>
                <w:sz w:val="21"/>
                <w:szCs w:val="21"/>
                <w:u w:val="none"/>
                <w:lang w:val="en-US" w:eastAsia="zh-CN" w:bidi="ar"/>
              </w:rPr>
              <w:t>；</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3.危害后果轻微；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5900E7BF">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228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456DE18B">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2555" w:type="dxa"/>
            <w:noWrap w:val="0"/>
            <w:vAlign w:val="center"/>
          </w:tcPr>
          <w:p w14:paraId="5E8853B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对建设单位未将需要消防验收的建设工程在竣工验收后未报住房和城乡建设主管部门备案的处罚</w:t>
            </w:r>
          </w:p>
        </w:tc>
        <w:tc>
          <w:tcPr>
            <w:tcW w:w="6420" w:type="dxa"/>
            <w:noWrap w:val="0"/>
            <w:vAlign w:val="center"/>
          </w:tcPr>
          <w:p w14:paraId="7A6B1AF5">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《中华人民共和国消防法》第十三条第二款 前款规定以外的其他建设工程，建设单位在验收后应当报住房和城乡建设主管部门备案。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第五十八条第二款 建设单位未按照本法规定在验收后报住房和城乡建设局主管部门备案的，由住房和城乡建设主管部门责令改正，处五千元以下罚款。</w:t>
            </w:r>
          </w:p>
        </w:tc>
        <w:tc>
          <w:tcPr>
            <w:tcW w:w="1950" w:type="dxa"/>
            <w:noWrap w:val="0"/>
            <w:vAlign w:val="center"/>
          </w:tcPr>
          <w:p w14:paraId="429653BB">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1.违法行为轻微（资料完整，逾期不超过3个月）；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3.没有造成危害后果；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5F690011">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2F92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719" w:type="dxa"/>
            <w:noWrap w:val="0"/>
            <w:vAlign w:val="center"/>
          </w:tcPr>
          <w:p w14:paraId="405B40E4">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2555" w:type="dxa"/>
            <w:noWrap w:val="0"/>
            <w:vAlign w:val="center"/>
          </w:tcPr>
          <w:p w14:paraId="37B3127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对建设单位在建设工程竣工验收后未向建设行政主管部门或者其他有关部门移交建设项目档案的处罚。</w:t>
            </w:r>
          </w:p>
        </w:tc>
        <w:tc>
          <w:tcPr>
            <w:tcW w:w="6420" w:type="dxa"/>
            <w:noWrap w:val="0"/>
            <w:vAlign w:val="center"/>
          </w:tcPr>
          <w:p w14:paraId="3CF379B3">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 《建设工程质量管理条例》第五十九条违反本条例规定，建设工程竣工验收后，建设单位未向建设行政主管部门或者其他有关部门移交建设项目档案的，责令改正，处1万元以上10万元以下的罚款。</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第七十三条 依据本条例规定，给予单位罚款处罚的，对单位直接负责的主管人员和其他直接责任人员处单位罚款数额5%以上10%以下的罚款。</w:t>
            </w:r>
          </w:p>
        </w:tc>
        <w:tc>
          <w:tcPr>
            <w:tcW w:w="1950" w:type="dxa"/>
            <w:noWrap w:val="0"/>
            <w:vAlign w:val="center"/>
          </w:tcPr>
          <w:p w14:paraId="188FDEA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1.违法行为轻微（资料完备、逾期不超过3个月）；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2DD28F9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7813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426B7200">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2555" w:type="dxa"/>
            <w:noWrap w:val="0"/>
            <w:vAlign w:val="center"/>
          </w:tcPr>
          <w:p w14:paraId="72320E4E">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对二、三级房地产估价机构违规设立分支机构的处罚</w:t>
            </w:r>
          </w:p>
        </w:tc>
        <w:tc>
          <w:tcPr>
            <w:tcW w:w="6420" w:type="dxa"/>
            <w:noWrap w:val="0"/>
            <w:vAlign w:val="center"/>
          </w:tcPr>
          <w:p w14:paraId="7B60AA84">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《房地产估价机构管理办法》第二十条</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第一款一级资质房地产估价机构可以按照本办法第二十一条的规定设立分支机构。二、三级资质房地产估价机构不得设立分支机构。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第四十九条有下列行为之一的，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由县级以上地方人民政府房地产主管部门给予警告，责令限期改正，并可处1万元以上2万元以下的罚款：</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（一）违反本办法第二十条第一款规 定设立分支机构的；</w:t>
            </w:r>
          </w:p>
        </w:tc>
        <w:tc>
          <w:tcPr>
            <w:tcW w:w="1950" w:type="dxa"/>
            <w:noWrap w:val="0"/>
            <w:vAlign w:val="center"/>
          </w:tcPr>
          <w:p w14:paraId="34A43D3C">
            <w:pPr>
              <w:keepNext w:val="0"/>
              <w:keepLines w:val="0"/>
              <w:pageBreakBefore w:val="0"/>
              <w:widowControl/>
              <w:numPr>
                <w:ilvl w:val="0"/>
                <w:numId w:val="2"/>
              </w:numPr>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违法行为轻微  （资料完备，逾期 不超过3个月）；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 ；</w:t>
            </w:r>
          </w:p>
          <w:p w14:paraId="4A7E2DA4">
            <w:pPr>
              <w:keepNext w:val="0"/>
              <w:keepLines w:val="0"/>
              <w:pageBreakBefore w:val="0"/>
              <w:widowControl/>
              <w:numPr>
                <w:ilvl w:val="-1"/>
                <w:numId w:val="0"/>
              </w:numPr>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22AC56DA">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660C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9" w:type="dxa"/>
            <w:noWrap w:val="0"/>
            <w:vAlign w:val="center"/>
          </w:tcPr>
          <w:p w14:paraId="5AD85C92">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2555" w:type="dxa"/>
            <w:noWrap w:val="0"/>
            <w:vAlign w:val="center"/>
          </w:tcPr>
          <w:p w14:paraId="76261027">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对一级房地产估价机构违反规定条件设立分支机构的处罚</w:t>
            </w:r>
          </w:p>
        </w:tc>
        <w:tc>
          <w:tcPr>
            <w:tcW w:w="6420" w:type="dxa"/>
            <w:noWrap w:val="0"/>
            <w:vAlign w:val="center"/>
          </w:tcPr>
          <w:p w14:paraId="3DC7D9A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《房地产估价机构管理办法》第二十一条分支机构应当具备下列条件：</w:t>
            </w:r>
          </w:p>
          <w:p w14:paraId="22B46653">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（一）名称采用“房地产估价机构名称 +分支机构所在地行政区划名+分公司（分所）”的形式；</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（二）分支机构负责人应当是注册后 从事房地产估价工作3年以上并无不良 执业记录的专职注册房地产估价师；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（三）在分支机构所在地有3名以上专职注册房地产估价师；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（四）有固定的经营服务场所；</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（五）估价质量管理、估价档案管理、财务管理等各项内部管理制度健全。</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注册于分支机构的专职注册房地产估价师，不计入设立分支机构的房地 产估价机构的专职注册房地产估价师人数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第四十九条有下列行为之一的，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由县级以上地方人民政府房地产主管部门给予警告，责令限期改正，并可处1万元以上2万元以下的罚款；</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（二）违反本办法第二十一条规定设立分支机构的。</w:t>
            </w:r>
          </w:p>
        </w:tc>
        <w:tc>
          <w:tcPr>
            <w:tcW w:w="1950" w:type="dxa"/>
            <w:noWrap w:val="0"/>
            <w:vAlign w:val="center"/>
          </w:tcPr>
          <w:p w14:paraId="08C73DF3">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1.违法行为轻微（资料完备，逾期 不超过3个月）；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 ；</w:t>
            </w:r>
          </w:p>
          <w:p w14:paraId="60AACB84">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337F06F5">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5F5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719" w:type="dxa"/>
            <w:noWrap w:val="0"/>
            <w:vAlign w:val="center"/>
          </w:tcPr>
          <w:p w14:paraId="7C6B8191">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2555" w:type="dxa"/>
            <w:noWrap w:val="0"/>
            <w:vAlign w:val="center"/>
          </w:tcPr>
          <w:p w14:paraId="46741B57">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对房地产估价机构新设立的分支机构未按规定备案的处罚</w:t>
            </w:r>
          </w:p>
        </w:tc>
        <w:tc>
          <w:tcPr>
            <w:tcW w:w="6420" w:type="dxa"/>
            <w:noWrap w:val="0"/>
            <w:vAlign w:val="center"/>
          </w:tcPr>
          <w:p w14:paraId="165404A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《房地产估价机构管理办法》第二十二条新设立的分支机构，应当自领取分 支机构营业执照之日起30日内，到分支机构工商注册所在地的省、自治区人民政府住房城乡建设主管部门、直辖市人民政府房地产主管部门备案。省、自治区人民政府住房城乡建设主 管部门、直辖市人民政府房地产主管部门 应当在接受备案后10日内，告知分支机 构工商注册所在地的市、县人民政府房地产主管部门，并报国务院住房城乡建设主管部门备案。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第四十九条有下列行为之一的，由县级以上地方人民政府房地产主管部门 给予警告，责令限期改正，并可处1万元 以上2万元以下的罚款：</w:t>
            </w:r>
          </w:p>
          <w:p w14:paraId="1EE0EFBF">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（三）违反本办法第二十二条第一款规定，新设立的分支机构不备案的。</w:t>
            </w:r>
          </w:p>
        </w:tc>
        <w:tc>
          <w:tcPr>
            <w:tcW w:w="1950" w:type="dxa"/>
            <w:noWrap w:val="0"/>
            <w:vAlign w:val="center"/>
          </w:tcPr>
          <w:p w14:paraId="138DA109">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p>
          <w:p w14:paraId="6DAAA08E">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17BFF8BF">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3662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jc w:val="center"/>
        </w:trPr>
        <w:tc>
          <w:tcPr>
            <w:tcW w:w="719" w:type="dxa"/>
            <w:noWrap w:val="0"/>
            <w:vAlign w:val="center"/>
          </w:tcPr>
          <w:p w14:paraId="20CD9B20">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2555" w:type="dxa"/>
            <w:noWrap w:val="0"/>
            <w:vAlign w:val="center"/>
          </w:tcPr>
          <w:p w14:paraId="1E2FAE6B">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对房地产开发企业未按规定将测绘成果或者需要由其提供的办理 房屋权属登记的资料报送房地产行政主管部门的处罚</w:t>
            </w:r>
          </w:p>
        </w:tc>
        <w:tc>
          <w:tcPr>
            <w:tcW w:w="6420" w:type="dxa"/>
            <w:noWrap w:val="0"/>
            <w:vAlign w:val="center"/>
          </w:tcPr>
          <w:p w14:paraId="006A6054">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《商品房销售管理办法》第四十一条 房地产开发企业未按规定将测绘成果 或者需要由其提供的办理房屋权属登 记的资料报送房地产行政主管部门的，处以警告，责令限期改正，并可处以2万元以上3万元以下罚款。</w:t>
            </w:r>
          </w:p>
        </w:tc>
        <w:tc>
          <w:tcPr>
            <w:tcW w:w="1950" w:type="dxa"/>
            <w:noWrap w:val="0"/>
            <w:vAlign w:val="center"/>
          </w:tcPr>
          <w:p w14:paraId="1045F615">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1.违法行为轻微（资料完备，逾期 不超过3个月）；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p>
          <w:p w14:paraId="4596C2E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4FFA23B9">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793D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719" w:type="dxa"/>
            <w:noWrap w:val="0"/>
            <w:vAlign w:val="center"/>
          </w:tcPr>
          <w:p w14:paraId="0CA87C04">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2555" w:type="dxa"/>
            <w:noWrap w:val="0"/>
            <w:vAlign w:val="center"/>
          </w:tcPr>
          <w:p w14:paraId="480AA85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对房产测绘单位（一）在房产面积测算中不 执行国家标准、规范和规定的； （二）在房产面积测算中弄虚作假、欺骗房屋权利人的；（三）房产面积测算失误，造成重大损失的。行为的处罚。</w:t>
            </w:r>
          </w:p>
        </w:tc>
        <w:tc>
          <w:tcPr>
            <w:tcW w:w="6420" w:type="dxa"/>
            <w:noWrap w:val="0"/>
            <w:vAlign w:val="center"/>
          </w:tcPr>
          <w:p w14:paraId="6E447F1D">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《房产测绘管理办法》第二十一条房产 测绘单位有下列情形之一的，由县级以 上人民政府房地产行政主管部门给予 警告并责令限期改正，并可处以1万元 以上3万元以下的罚款；情节严重的， 由发证机关予以降级或者取消其房产测绘资格：（一）在房产面积测算中不执行国家标准、规范和规定的；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（二）在房产面积测算中弄虚作假、欺骗房屋权利人的；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（三）房产面积测算失误，造成重大损失的。</w:t>
            </w:r>
          </w:p>
        </w:tc>
        <w:tc>
          <w:tcPr>
            <w:tcW w:w="1950" w:type="dxa"/>
            <w:noWrap w:val="0"/>
            <w:vAlign w:val="center"/>
          </w:tcPr>
          <w:p w14:paraId="4D5CEB4B">
            <w:pPr>
              <w:keepNext w:val="0"/>
              <w:keepLines w:val="0"/>
              <w:pageBreakBefore w:val="0"/>
              <w:widowControl/>
              <w:numPr>
                <w:ilvl w:val="0"/>
                <w:numId w:val="3"/>
              </w:numPr>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违法行为轻微（资料完备，逾期 不超过3个月）；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 ；</w:t>
            </w:r>
          </w:p>
          <w:p w14:paraId="687075F0">
            <w:pPr>
              <w:keepNext w:val="0"/>
              <w:keepLines w:val="0"/>
              <w:pageBreakBefore w:val="0"/>
              <w:widowControl/>
              <w:numPr>
                <w:ilvl w:val="-1"/>
                <w:numId w:val="0"/>
              </w:numPr>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0B2626D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159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719" w:type="dxa"/>
            <w:noWrap w:val="0"/>
            <w:vAlign w:val="center"/>
          </w:tcPr>
          <w:p w14:paraId="06EF373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2555" w:type="dxa"/>
            <w:noWrap w:val="0"/>
            <w:vAlign w:val="center"/>
          </w:tcPr>
          <w:p w14:paraId="37490EF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对房地产开发企业未按规定的现售条件现售商品房的处罚。</w:t>
            </w:r>
          </w:p>
        </w:tc>
        <w:tc>
          <w:tcPr>
            <w:tcW w:w="6420" w:type="dxa"/>
            <w:noWrap w:val="0"/>
            <w:vAlign w:val="center"/>
          </w:tcPr>
          <w:p w14:paraId="13A2E01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《商品房销售管理办法》第四十二条 房地产开发企业在销售商品房中有下列 行为之一的，处以警告，责令限期改正， 并可处以1万元以上3万元以下罚款。 </w:t>
            </w:r>
          </w:p>
          <w:p w14:paraId="7FA6E0C7">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（一）未按照规定的现售条件现售商品房的 。</w:t>
            </w:r>
          </w:p>
        </w:tc>
        <w:tc>
          <w:tcPr>
            <w:tcW w:w="1950" w:type="dxa"/>
            <w:noWrap w:val="0"/>
            <w:vAlign w:val="center"/>
          </w:tcPr>
          <w:p w14:paraId="469422BF">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1.初次违法；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3.危害后果轻微；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48637496">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671F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719" w:type="dxa"/>
            <w:noWrap w:val="0"/>
            <w:vAlign w:val="center"/>
          </w:tcPr>
          <w:p w14:paraId="4B8B489D">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2555" w:type="dxa"/>
            <w:noWrap w:val="0"/>
            <w:vAlign w:val="center"/>
          </w:tcPr>
          <w:p w14:paraId="3916A52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对未解除商品房买卖合同前，将作为合同标的物的商品房再行销售给他人行为的处罚。</w:t>
            </w:r>
          </w:p>
        </w:tc>
        <w:tc>
          <w:tcPr>
            <w:tcW w:w="6420" w:type="dxa"/>
            <w:noWrap w:val="0"/>
            <w:vAlign w:val="center"/>
          </w:tcPr>
          <w:p w14:paraId="692B867D">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《商品房销售管理办法》第三十九条 在未解除商品房买卖合同前，将作为合同标的物的商品房再行销售给他人的，处以警告，责令限期改正，并处2万元以上3万元以下罚款；构成犯罪的，依法追究刑事责任。</w:t>
            </w:r>
          </w:p>
        </w:tc>
        <w:tc>
          <w:tcPr>
            <w:tcW w:w="1950" w:type="dxa"/>
            <w:noWrap w:val="0"/>
            <w:vAlign w:val="center"/>
          </w:tcPr>
          <w:p w14:paraId="0AE2BEB5">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1.初次违法；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3.危害后果轻微；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p>
        </w:tc>
        <w:tc>
          <w:tcPr>
            <w:tcW w:w="1913" w:type="dxa"/>
            <w:noWrap w:val="0"/>
            <w:vAlign w:val="center"/>
          </w:tcPr>
          <w:p w14:paraId="45C1598A">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12B2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719" w:type="dxa"/>
            <w:noWrap w:val="0"/>
            <w:vAlign w:val="center"/>
          </w:tcPr>
          <w:p w14:paraId="2E7403A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2555" w:type="dxa"/>
            <w:noWrap w:val="0"/>
            <w:vAlign w:val="center"/>
          </w:tcPr>
          <w:p w14:paraId="14D951B8">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对房地产开发企业未按规定将测 绘成果或者需要由其提供的办理 房屋权属登记的资料报送房地产 行政主管部门的处罚</w:t>
            </w:r>
          </w:p>
        </w:tc>
        <w:tc>
          <w:tcPr>
            <w:tcW w:w="6420" w:type="dxa"/>
            <w:noWrap w:val="0"/>
            <w:vAlign w:val="center"/>
          </w:tcPr>
          <w:p w14:paraId="6A8EEF3A">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《商品房销售管理办法》第四十一条 房地产开发企业未按规定将测绘成果 或者需要由其提供的办理房屋权属登 记的资料报送房地产行政主管部门的， 处以警告，责令限期改正，并可处以2万元以上3万元以下罚款。</w:t>
            </w:r>
          </w:p>
        </w:tc>
        <w:tc>
          <w:tcPr>
            <w:tcW w:w="1950" w:type="dxa"/>
            <w:noWrap w:val="0"/>
            <w:vAlign w:val="center"/>
          </w:tcPr>
          <w:p w14:paraId="1879219D">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1.违法行为轻微（资料完备，逾期 不超过3个月）；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 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3. 没有造成危害后果；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 当事人积极配合检查调查。</w:t>
            </w:r>
          </w:p>
        </w:tc>
        <w:tc>
          <w:tcPr>
            <w:tcW w:w="1913" w:type="dxa"/>
            <w:noWrap w:val="0"/>
            <w:vAlign w:val="center"/>
          </w:tcPr>
          <w:p w14:paraId="3A1663E2">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0488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19" w:type="dxa"/>
            <w:noWrap w:val="0"/>
            <w:vAlign w:val="center"/>
          </w:tcPr>
          <w:p w14:paraId="0CDBA04C">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w:t>
            </w:r>
          </w:p>
        </w:tc>
        <w:tc>
          <w:tcPr>
            <w:tcW w:w="2555" w:type="dxa"/>
            <w:noWrap w:val="0"/>
            <w:vAlign w:val="center"/>
          </w:tcPr>
          <w:p w14:paraId="55395D6D">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对房屋不得出租行为的处罚</w:t>
            </w:r>
          </w:p>
        </w:tc>
        <w:tc>
          <w:tcPr>
            <w:tcW w:w="6420" w:type="dxa"/>
            <w:noWrap w:val="0"/>
            <w:vAlign w:val="center"/>
          </w:tcPr>
          <w:p w14:paraId="5327EF51">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《商品房屋租赁管理办法》第六条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（一）属于违法建筑的；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（二）不符合安全、防灾等工程建设强制性标准的；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（三）违反规定改变房屋使用性质的；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（四）法律、法规规定禁止出租的其他情形。</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 第二十一条违反本办法第六条规定的，由直辖市、市、县人民政府建设（房地产）主管部门责令限期改正，对没有违法所得的，可处以五千元以下罚款；</w:t>
            </w:r>
          </w:p>
        </w:tc>
        <w:tc>
          <w:tcPr>
            <w:tcW w:w="1950" w:type="dxa"/>
            <w:noWrap w:val="0"/>
            <w:vAlign w:val="center"/>
          </w:tcPr>
          <w:p w14:paraId="7E1EF1CE">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1. 违法行为轻微；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2. 及时改正；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3. 没有造成危害后果； </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 当事人积极配合检查调查。</w:t>
            </w:r>
          </w:p>
        </w:tc>
        <w:tc>
          <w:tcPr>
            <w:tcW w:w="1913" w:type="dxa"/>
            <w:noWrap w:val="0"/>
            <w:vAlign w:val="center"/>
          </w:tcPr>
          <w:p w14:paraId="5603CAC5">
            <w:pPr>
              <w:keepNext w:val="0"/>
              <w:keepLines w:val="0"/>
              <w:pageBreakBefore w:val="0"/>
              <w:widowControl/>
              <w:suppressLineNumbers w:val="0"/>
              <w:kinsoku/>
              <w:overflowPunct/>
              <w:topLinePunct w:val="0"/>
              <w:autoSpaceDE/>
              <w:autoSpaceDN/>
              <w:bidi w:val="0"/>
              <w:adjustRightInd/>
              <w:spacing w:line="576" w:lineRule="exact"/>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4FC3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9" w:type="dxa"/>
            <w:noWrap w:val="0"/>
            <w:vAlign w:val="center"/>
          </w:tcPr>
          <w:p w14:paraId="5B2DAB4A">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w:t>
            </w:r>
          </w:p>
        </w:tc>
        <w:tc>
          <w:tcPr>
            <w:tcW w:w="2555" w:type="dxa"/>
            <w:noWrap w:val="0"/>
            <w:vAlign w:val="center"/>
          </w:tcPr>
          <w:p w14:paraId="7988AEE1">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经纪机构代办服务未经委托人同意；服务合同签字不规范；签合同未书面告知当事人；未如实记录或保存服务合同</w:t>
            </w:r>
          </w:p>
        </w:tc>
        <w:tc>
          <w:tcPr>
            <w:tcW w:w="6420" w:type="dxa"/>
            <w:noWrap w:val="0"/>
            <w:vAlign w:val="center"/>
          </w:tcPr>
          <w:p w14:paraId="5B99B99E">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《房地产经纪管理办法》第三十三条 违反本办法，有下列行为之一的，由县级以上地方人民政府建设（房地产）主管部门责令限期改正，记入信用档案；对房地产经纪人员处以1万元罚款；对房地产经纪机构处以1万元以上3万元以下罚款：</w:t>
            </w:r>
          </w:p>
          <w:p w14:paraId="7C2DF5C0">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（二）房地产经纪机构提供代办贷款、代办房地产登记等其他服务，未向委托人说明服务内容、收费标准等情况，并未经委托人同意的；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（三）房地产经纪服务合同未由从事该业务的一名房地产经纪人或者两名房地产经纪人协理签名的；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（四）房地产经纪机构签订房地产经纪服务合同前，不向交易当事人说明和书面告知规定事项的；</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（五）房地产经纪机构未按照规定如实记录业务情况或者保存房地产经纪服务合同的。</w:t>
            </w:r>
          </w:p>
        </w:tc>
        <w:tc>
          <w:tcPr>
            <w:tcW w:w="1950" w:type="dxa"/>
            <w:noWrap w:val="0"/>
            <w:vAlign w:val="center"/>
          </w:tcPr>
          <w:p w14:paraId="680A83A6">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r>
              <w:rPr>
                <w:rFonts w:hint="eastAsia" w:ascii="仿宋" w:hAnsi="仿宋" w:eastAsia="仿宋" w:cs="仿宋"/>
                <w:b w:val="0"/>
                <w:bCs w:val="0"/>
                <w:i w:val="0"/>
                <w:iCs w:val="0"/>
                <w:color w:val="000000"/>
                <w:kern w:val="0"/>
                <w:sz w:val="21"/>
                <w:szCs w:val="21"/>
                <w:u w:val="none"/>
                <w:lang w:val="en-US" w:eastAsia="zh-CN" w:bidi="ar"/>
              </w:rPr>
              <w:br w:type="textWrapping"/>
            </w:r>
          </w:p>
        </w:tc>
        <w:tc>
          <w:tcPr>
            <w:tcW w:w="1913" w:type="dxa"/>
            <w:noWrap w:val="0"/>
            <w:vAlign w:val="center"/>
          </w:tcPr>
          <w:p w14:paraId="1D6A4D90">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r w14:paraId="0172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719" w:type="dxa"/>
            <w:noWrap w:val="0"/>
            <w:vAlign w:val="center"/>
          </w:tcPr>
          <w:p w14:paraId="4C8DB95D">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w:t>
            </w:r>
          </w:p>
        </w:tc>
        <w:tc>
          <w:tcPr>
            <w:tcW w:w="2555" w:type="dxa"/>
            <w:noWrap w:val="0"/>
            <w:vAlign w:val="center"/>
          </w:tcPr>
          <w:p w14:paraId="6C6F5DB2">
            <w:pPr>
              <w:keepNext w:val="0"/>
              <w:keepLines w:val="0"/>
              <w:pageBreakBefore w:val="0"/>
              <w:widowControl/>
              <w:suppressLineNumbers w:val="0"/>
              <w:kinsoku/>
              <w:overflowPunct/>
              <w:topLinePunct w:val="0"/>
              <w:autoSpaceDE/>
              <w:autoSpaceDN/>
              <w:bidi w:val="0"/>
              <w:adjustRightInd/>
              <w:spacing w:line="576"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经纪机构擅自发布房源信息</w:t>
            </w:r>
          </w:p>
        </w:tc>
        <w:tc>
          <w:tcPr>
            <w:tcW w:w="6420" w:type="dxa"/>
            <w:noWrap w:val="0"/>
            <w:vAlign w:val="center"/>
          </w:tcPr>
          <w:p w14:paraId="78D87E44">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《房地产经纪管理办法》第二十二条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14:paraId="53AB8A28">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Style w:val="6"/>
                <w:rFonts w:hint="eastAsia" w:ascii="仿宋" w:hAnsi="仿宋" w:eastAsia="仿宋" w:cs="仿宋"/>
                <w:b w:val="0"/>
                <w:bCs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第三十五条 违反本办法第二十二条，房地产经纪机构擅自对外发布房源信息的，由县级以上地方人民政府建设（房地产）主管部门责令限期改正，记入信用档案，取消网上签约资格，并处以1万元以上3万元以下罚款。</w:t>
            </w:r>
          </w:p>
        </w:tc>
        <w:tc>
          <w:tcPr>
            <w:tcW w:w="1950" w:type="dxa"/>
            <w:noWrap w:val="0"/>
            <w:vAlign w:val="center"/>
          </w:tcPr>
          <w:p w14:paraId="186F3C34">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1、违法行为轻微；</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2、及时改正；</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3、没有造成危害后果；</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4、当事人积极配合检查调查。</w:t>
            </w:r>
            <w:r>
              <w:rPr>
                <w:rFonts w:hint="eastAsia" w:ascii="仿宋" w:hAnsi="仿宋" w:eastAsia="仿宋" w:cs="仿宋"/>
                <w:b w:val="0"/>
                <w:bCs w:val="0"/>
                <w:i w:val="0"/>
                <w:iCs w:val="0"/>
                <w:color w:val="000000"/>
                <w:kern w:val="0"/>
                <w:sz w:val="21"/>
                <w:szCs w:val="21"/>
                <w:u w:val="none"/>
                <w:lang w:val="en-US" w:eastAsia="zh-CN" w:bidi="ar"/>
              </w:rPr>
              <w:br w:type="textWrapping"/>
            </w:r>
          </w:p>
        </w:tc>
        <w:tc>
          <w:tcPr>
            <w:tcW w:w="1913" w:type="dxa"/>
            <w:noWrap w:val="0"/>
            <w:vAlign w:val="center"/>
          </w:tcPr>
          <w:p w14:paraId="25CA50E9">
            <w:pPr>
              <w:keepNext w:val="0"/>
              <w:keepLines w:val="0"/>
              <w:pageBreakBefore w:val="0"/>
              <w:widowControl/>
              <w:suppressLineNumbers w:val="0"/>
              <w:kinsoku/>
              <w:overflowPunct/>
              <w:topLinePunct w:val="0"/>
              <w:autoSpaceDE/>
              <w:autoSpaceDN/>
              <w:bidi w:val="0"/>
              <w:adjustRightInd/>
              <w:spacing w:line="576"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轻微不罚</w:t>
            </w:r>
          </w:p>
        </w:tc>
      </w:tr>
    </w:tbl>
    <w:p w14:paraId="6F1A970D">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备注：1.本清单“适用情形”栏目中“以下”包含本数。</w:t>
      </w:r>
    </w:p>
    <w:p w14:paraId="044E3539">
      <w:pPr>
        <w:keepNext w:val="0"/>
        <w:keepLines w:val="0"/>
        <w:pageBreakBefore w:val="0"/>
        <w:numPr>
          <w:ilvl w:val="0"/>
          <w:numId w:val="0"/>
        </w:numPr>
        <w:kinsoku/>
        <w:overflowPunct/>
        <w:topLinePunct w:val="0"/>
        <w:autoSpaceDE/>
        <w:autoSpaceDN/>
        <w:bidi w:val="0"/>
        <w:adjustRightInd/>
        <w:spacing w:line="576" w:lineRule="exact"/>
        <w:rPr>
          <w:rFonts w:hint="eastAsia" w:ascii="仿宋" w:hAnsi="仿宋" w:eastAsia="仿宋" w:cs="仿宋"/>
          <w:sz w:val="28"/>
          <w:szCs w:val="28"/>
          <w:lang w:val="en-US" w:eastAsia="zh-CN"/>
        </w:rPr>
      </w:pPr>
      <w:r>
        <w:rPr>
          <w:rFonts w:hint="eastAsia" w:ascii="仿宋" w:hAnsi="仿宋" w:eastAsia="仿宋" w:cs="仿宋"/>
          <w:b w:val="0"/>
          <w:bCs w:val="0"/>
          <w:sz w:val="21"/>
          <w:szCs w:val="21"/>
          <w:lang w:val="en-US" w:eastAsia="zh-CN"/>
        </w:rPr>
        <w:t xml:space="preserve">      2.违法行为需同时满足本清单“适用情形”栏目所列的各项情形方可免于行政处罚。</w:t>
      </w:r>
    </w:p>
    <w:p w14:paraId="67956D04">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FE3AF"/>
    <w:multiLevelType w:val="singleLevel"/>
    <w:tmpl w:val="ADFFE3AF"/>
    <w:lvl w:ilvl="0" w:tentative="0">
      <w:start w:val="1"/>
      <w:numFmt w:val="decimal"/>
      <w:lvlText w:val="%1."/>
      <w:lvlJc w:val="left"/>
      <w:pPr>
        <w:tabs>
          <w:tab w:val="left" w:pos="312"/>
        </w:tabs>
      </w:pPr>
    </w:lvl>
  </w:abstractNum>
  <w:abstractNum w:abstractNumId="1">
    <w:nsid w:val="DFFE26B9"/>
    <w:multiLevelType w:val="singleLevel"/>
    <w:tmpl w:val="DFFE26B9"/>
    <w:lvl w:ilvl="0" w:tentative="0">
      <w:start w:val="1"/>
      <w:numFmt w:val="chineseCounting"/>
      <w:suff w:val="nothing"/>
      <w:lvlText w:val="（%1）"/>
      <w:lvlJc w:val="left"/>
      <w:pPr>
        <w:ind w:left="0" w:leftChars="0" w:firstLine="0" w:firstLineChars="0"/>
      </w:pPr>
      <w:rPr>
        <w:rFonts w:hint="eastAsia"/>
      </w:rPr>
    </w:lvl>
  </w:abstractNum>
  <w:abstractNum w:abstractNumId="2">
    <w:nsid w:val="F5FAC943"/>
    <w:multiLevelType w:val="singleLevel"/>
    <w:tmpl w:val="F5FAC94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F0D2E"/>
    <w:rsid w:val="191A7806"/>
    <w:rsid w:val="1ED70587"/>
    <w:rsid w:val="38CF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pPr>
    <w:rPr>
      <w:spacing w:val="10"/>
      <w:szCs w:val="20"/>
      <w:lang w:val="zh-CN"/>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2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252</Words>
  <Characters>271</Characters>
  <Lines>0</Lines>
  <Paragraphs>0</Paragraphs>
  <TotalTime>0</TotalTime>
  <ScaleCrop>false</ScaleCrop>
  <LinksUpToDate>false</LinksUpToDate>
  <CharactersWithSpaces>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2025-05-08T09:58:00Z</dcterms:created>
  <dc:creator>影子</dc:creator>
  <cp:lastModifiedBy>影子</cp:lastModifiedBy>
  <dcterms:modified xsi:type="dcterms:W3CDTF">2025-05-08T10:14:54Z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95095988DB274B4F8CE882D5E4CF767E_11</vt:lpwstr>
  </property>
  <property fmtid="{D5CDD505-2E9C-101B-9397-08002B2CF9AE}" pid="4" name="KSOTemplateDocerSaveRecord">
    <vt:lpwstr>eyJoZGlkIjoiMThlOWU3MjAxOGMxZDE3Njk3OTQ3NzZiZDc3Y2ZmZDgiLCJ1c2VySWQiOiI5NjczNzA5NDQifQ==</vt:lpwstr>
  </property>
</Properties>
</file>